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4394" w14:textId="2B2E57A3" w:rsidR="00594E07" w:rsidRDefault="00EB0D98" w:rsidP="00594E07">
      <w:pPr>
        <w:jc w:val="center"/>
        <w:rPr>
          <w:rFonts w:asciiTheme="majorHAnsi" w:eastAsiaTheme="majorHAnsi" w:hAnsiTheme="majorHAnsi"/>
          <w:sz w:val="16"/>
          <w:szCs w:val="16"/>
        </w:rPr>
      </w:pPr>
      <w:r w:rsidRPr="00EB0D98">
        <w:rPr>
          <w:rFonts w:asciiTheme="majorHAnsi" w:eastAsiaTheme="majorHAnsi" w:hAnsiTheme="majorHAnsi" w:hint="eastAsia"/>
          <w:sz w:val="60"/>
          <w:szCs w:val="60"/>
        </w:rPr>
        <w:t>医療情報取得加算に関するご案内</w:t>
      </w:r>
    </w:p>
    <w:p w14:paraId="6D25DFCF" w14:textId="0E2F2E2D" w:rsidR="00EB0D98" w:rsidRPr="00810C7D" w:rsidRDefault="00EB0D98" w:rsidP="00810C7D">
      <w:pPr>
        <w:ind w:firstLineChars="100" w:firstLine="320"/>
        <w:rPr>
          <w:rFonts w:asciiTheme="majorHAnsi" w:eastAsiaTheme="majorHAnsi" w:hAnsiTheme="majorHAnsi"/>
          <w:sz w:val="32"/>
          <w:szCs w:val="32"/>
        </w:rPr>
      </w:pPr>
      <w:r w:rsidRPr="00810C7D">
        <w:rPr>
          <w:rFonts w:asciiTheme="majorHAnsi" w:eastAsiaTheme="majorHAnsi" w:hAnsiTheme="majorHAnsi" w:hint="eastAsia"/>
          <w:sz w:val="32"/>
          <w:szCs w:val="32"/>
        </w:rPr>
        <w:t>当院はオンライン資格確認システムを導入し、マイナンバーカードによる保険証(マイナ保険証)の利用を推奨しております。</w:t>
      </w:r>
    </w:p>
    <w:p w14:paraId="573219FD" w14:textId="06FAF5AF" w:rsidR="00EB0D98" w:rsidRPr="00810C7D" w:rsidRDefault="00EB0D98" w:rsidP="00EB0D98">
      <w:pPr>
        <w:ind w:firstLineChars="100" w:firstLine="320"/>
        <w:rPr>
          <w:rFonts w:asciiTheme="majorHAnsi" w:eastAsiaTheme="majorHAnsi" w:hAnsiTheme="majorHAnsi"/>
          <w:sz w:val="32"/>
          <w:szCs w:val="32"/>
        </w:rPr>
      </w:pPr>
      <w:r w:rsidRPr="00810C7D">
        <w:rPr>
          <w:rFonts w:asciiTheme="majorHAnsi" w:eastAsiaTheme="majorHAnsi" w:hAnsiTheme="majorHAnsi" w:hint="eastAsia"/>
          <w:sz w:val="32"/>
          <w:szCs w:val="32"/>
        </w:rPr>
        <w:t>また、受診歴・薬剤情報・特定健診情報・その他必要な診療情報を取得・活用して診療いたします。</w:t>
      </w:r>
    </w:p>
    <w:p w14:paraId="21E2CB49" w14:textId="6202FC5F" w:rsidR="00594E07" w:rsidRPr="00810C7D" w:rsidRDefault="00EB0D98">
      <w:pPr>
        <w:rPr>
          <w:rFonts w:asciiTheme="majorHAnsi" w:eastAsiaTheme="majorHAnsi" w:hAnsiTheme="majorHAnsi"/>
          <w:sz w:val="32"/>
          <w:szCs w:val="32"/>
        </w:rPr>
      </w:pPr>
      <w:r w:rsidRPr="00810C7D">
        <w:rPr>
          <w:rFonts w:asciiTheme="majorHAnsi" w:eastAsiaTheme="majorHAnsi" w:hAnsiTheme="majorHAnsi" w:hint="eastAsia"/>
          <w:sz w:val="32"/>
          <w:szCs w:val="32"/>
        </w:rPr>
        <w:t xml:space="preserve">　なお、令和６年６月１日より、医療情報取得加算として下表のとおり診療報酬点数を算定いたします。</w:t>
      </w:r>
    </w:p>
    <w:tbl>
      <w:tblPr>
        <w:tblStyle w:val="a3"/>
        <w:tblW w:w="0" w:type="auto"/>
        <w:tblLook w:val="04A0" w:firstRow="1" w:lastRow="0" w:firstColumn="1" w:lastColumn="0" w:noHBand="0" w:noVBand="1"/>
      </w:tblPr>
      <w:tblGrid>
        <w:gridCol w:w="2263"/>
        <w:gridCol w:w="2965"/>
        <w:gridCol w:w="2614"/>
        <w:gridCol w:w="2614"/>
      </w:tblGrid>
      <w:tr w:rsidR="00594E07" w14:paraId="3A0126F9" w14:textId="77777777" w:rsidTr="00594E07">
        <w:tc>
          <w:tcPr>
            <w:tcW w:w="2263" w:type="dxa"/>
          </w:tcPr>
          <w:p w14:paraId="0CE53ED1" w14:textId="77777777" w:rsidR="00594E07" w:rsidRDefault="00594E07">
            <w:pPr>
              <w:rPr>
                <w:rFonts w:asciiTheme="majorHAnsi" w:eastAsiaTheme="majorHAnsi" w:hAnsiTheme="majorHAnsi"/>
                <w:sz w:val="36"/>
                <w:szCs w:val="36"/>
              </w:rPr>
            </w:pPr>
          </w:p>
        </w:tc>
        <w:tc>
          <w:tcPr>
            <w:tcW w:w="2965" w:type="dxa"/>
          </w:tcPr>
          <w:p w14:paraId="51A79524" w14:textId="5F02CA3B" w:rsidR="00594E07" w:rsidRPr="00594E07" w:rsidRDefault="00594E07" w:rsidP="00594E07">
            <w:pPr>
              <w:jc w:val="center"/>
              <w:rPr>
                <w:rFonts w:asciiTheme="majorHAnsi" w:eastAsiaTheme="majorHAnsi" w:hAnsiTheme="majorHAnsi"/>
                <w:sz w:val="28"/>
                <w:szCs w:val="28"/>
              </w:rPr>
            </w:pPr>
            <w:r w:rsidRPr="00594E07">
              <w:rPr>
                <w:rFonts w:asciiTheme="majorHAnsi" w:eastAsiaTheme="majorHAnsi" w:hAnsiTheme="majorHAnsi" w:hint="eastAsia"/>
                <w:sz w:val="28"/>
                <w:szCs w:val="28"/>
              </w:rPr>
              <w:t>マイナ保険証利用</w:t>
            </w:r>
          </w:p>
        </w:tc>
        <w:tc>
          <w:tcPr>
            <w:tcW w:w="2614" w:type="dxa"/>
          </w:tcPr>
          <w:p w14:paraId="25116F48" w14:textId="7E3188ED" w:rsidR="00594E07" w:rsidRPr="00594E07" w:rsidRDefault="00594E07" w:rsidP="00594E07">
            <w:pPr>
              <w:jc w:val="center"/>
              <w:rPr>
                <w:rFonts w:asciiTheme="majorHAnsi" w:eastAsiaTheme="majorHAnsi" w:hAnsiTheme="majorHAnsi"/>
                <w:sz w:val="24"/>
              </w:rPr>
            </w:pPr>
            <w:r w:rsidRPr="00594E07">
              <w:rPr>
                <w:rFonts w:asciiTheme="majorHAnsi" w:eastAsiaTheme="majorHAnsi" w:hAnsiTheme="majorHAnsi" w:hint="eastAsia"/>
                <w:sz w:val="24"/>
              </w:rPr>
              <w:t>診療情報等提供同意</w:t>
            </w:r>
          </w:p>
        </w:tc>
        <w:tc>
          <w:tcPr>
            <w:tcW w:w="2614" w:type="dxa"/>
          </w:tcPr>
          <w:p w14:paraId="28E6D188" w14:textId="3F4A63CA" w:rsidR="00594E07" w:rsidRPr="00594E07" w:rsidRDefault="00594E07" w:rsidP="00594E07">
            <w:pPr>
              <w:jc w:val="center"/>
              <w:rPr>
                <w:rFonts w:asciiTheme="majorHAnsi" w:eastAsiaTheme="majorHAnsi" w:hAnsiTheme="majorHAnsi"/>
                <w:sz w:val="28"/>
                <w:szCs w:val="28"/>
              </w:rPr>
            </w:pPr>
            <w:r w:rsidRPr="00594E07">
              <w:rPr>
                <w:rFonts w:asciiTheme="majorHAnsi" w:eastAsiaTheme="majorHAnsi" w:hAnsiTheme="majorHAnsi" w:hint="eastAsia"/>
                <w:sz w:val="28"/>
                <w:szCs w:val="28"/>
              </w:rPr>
              <w:t>診療報酬点数</w:t>
            </w:r>
          </w:p>
        </w:tc>
      </w:tr>
      <w:tr w:rsidR="00810C7D" w14:paraId="750409EB" w14:textId="77777777" w:rsidTr="00810C7D">
        <w:tc>
          <w:tcPr>
            <w:tcW w:w="2263" w:type="dxa"/>
            <w:vMerge w:val="restart"/>
            <w:vAlign w:val="center"/>
          </w:tcPr>
          <w:p w14:paraId="371548DD" w14:textId="77777777" w:rsidR="00810C7D" w:rsidRDefault="00810C7D" w:rsidP="00B358ED">
            <w:pPr>
              <w:jc w:val="center"/>
              <w:rPr>
                <w:rFonts w:asciiTheme="majorHAnsi" w:eastAsiaTheme="majorHAnsi" w:hAnsiTheme="majorHAnsi"/>
                <w:sz w:val="36"/>
                <w:szCs w:val="36"/>
              </w:rPr>
            </w:pPr>
            <w:r>
              <w:rPr>
                <w:rFonts w:asciiTheme="majorHAnsi" w:eastAsiaTheme="majorHAnsi" w:hAnsiTheme="majorHAnsi" w:hint="eastAsia"/>
                <w:sz w:val="36"/>
                <w:szCs w:val="36"/>
              </w:rPr>
              <w:t>初診時</w:t>
            </w:r>
          </w:p>
          <w:p w14:paraId="5940ECC2" w14:textId="242E1C5F" w:rsidR="00810C7D" w:rsidRDefault="00810C7D" w:rsidP="00B358ED">
            <w:pPr>
              <w:jc w:val="center"/>
              <w:rPr>
                <w:rFonts w:asciiTheme="majorHAnsi" w:eastAsiaTheme="majorHAnsi" w:hAnsiTheme="majorHAnsi"/>
                <w:sz w:val="36"/>
                <w:szCs w:val="36"/>
              </w:rPr>
            </w:pPr>
            <w:r>
              <w:rPr>
                <w:rFonts w:asciiTheme="majorHAnsi" w:eastAsiaTheme="majorHAnsi" w:hAnsiTheme="majorHAnsi" w:hint="eastAsia"/>
                <w:sz w:val="36"/>
                <w:szCs w:val="36"/>
              </w:rPr>
              <w:t>(月に１回)</w:t>
            </w:r>
          </w:p>
        </w:tc>
        <w:tc>
          <w:tcPr>
            <w:tcW w:w="2965" w:type="dxa"/>
            <w:vMerge w:val="restart"/>
            <w:vAlign w:val="center"/>
          </w:tcPr>
          <w:p w14:paraId="2AC7A133" w14:textId="17D880F4" w:rsidR="00810C7D" w:rsidRDefault="00810C7D" w:rsidP="00810C7D">
            <w:pPr>
              <w:jc w:val="center"/>
              <w:rPr>
                <w:rFonts w:asciiTheme="majorHAnsi" w:eastAsiaTheme="majorHAnsi" w:hAnsiTheme="majorHAnsi"/>
                <w:sz w:val="36"/>
                <w:szCs w:val="36"/>
              </w:rPr>
            </w:pPr>
            <w:r>
              <w:rPr>
                <w:rFonts w:asciiTheme="majorHAnsi" w:eastAsiaTheme="majorHAnsi" w:hAnsiTheme="majorHAnsi" w:hint="eastAsia"/>
                <w:sz w:val="36"/>
                <w:szCs w:val="36"/>
              </w:rPr>
              <w:t>する</w:t>
            </w:r>
          </w:p>
        </w:tc>
        <w:tc>
          <w:tcPr>
            <w:tcW w:w="2614" w:type="dxa"/>
          </w:tcPr>
          <w:p w14:paraId="477FE962" w14:textId="35C88D2F"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する</w:t>
            </w:r>
          </w:p>
        </w:tc>
        <w:tc>
          <w:tcPr>
            <w:tcW w:w="2614" w:type="dxa"/>
          </w:tcPr>
          <w:p w14:paraId="112935DD" w14:textId="2170E838"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１点</w:t>
            </w:r>
          </w:p>
        </w:tc>
      </w:tr>
      <w:tr w:rsidR="00810C7D" w14:paraId="144FB093" w14:textId="77777777" w:rsidTr="00594E07">
        <w:tc>
          <w:tcPr>
            <w:tcW w:w="2263" w:type="dxa"/>
            <w:vMerge/>
          </w:tcPr>
          <w:p w14:paraId="36FD63C6" w14:textId="77777777" w:rsidR="00810C7D" w:rsidRDefault="00810C7D">
            <w:pPr>
              <w:rPr>
                <w:rFonts w:asciiTheme="majorHAnsi" w:eastAsiaTheme="majorHAnsi" w:hAnsiTheme="majorHAnsi"/>
                <w:sz w:val="36"/>
                <w:szCs w:val="36"/>
              </w:rPr>
            </w:pPr>
          </w:p>
        </w:tc>
        <w:tc>
          <w:tcPr>
            <w:tcW w:w="2965" w:type="dxa"/>
            <w:vMerge/>
          </w:tcPr>
          <w:p w14:paraId="31E96FE2" w14:textId="271BB959" w:rsidR="00810C7D" w:rsidRDefault="00810C7D" w:rsidP="00594E07">
            <w:pPr>
              <w:jc w:val="center"/>
              <w:rPr>
                <w:rFonts w:asciiTheme="majorHAnsi" w:eastAsiaTheme="majorHAnsi" w:hAnsiTheme="majorHAnsi"/>
                <w:sz w:val="36"/>
                <w:szCs w:val="36"/>
              </w:rPr>
            </w:pPr>
          </w:p>
        </w:tc>
        <w:tc>
          <w:tcPr>
            <w:tcW w:w="2614" w:type="dxa"/>
          </w:tcPr>
          <w:p w14:paraId="6375F97B" w14:textId="70A08FC4"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3FF0CF5B" w14:textId="7F311ACD"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３点</w:t>
            </w:r>
          </w:p>
        </w:tc>
      </w:tr>
      <w:tr w:rsidR="00594E07" w14:paraId="303B0F18" w14:textId="77777777" w:rsidTr="00594E07">
        <w:tc>
          <w:tcPr>
            <w:tcW w:w="2263" w:type="dxa"/>
            <w:vMerge/>
          </w:tcPr>
          <w:p w14:paraId="5035BB10" w14:textId="77777777" w:rsidR="00594E07" w:rsidRDefault="00594E07">
            <w:pPr>
              <w:rPr>
                <w:rFonts w:asciiTheme="majorHAnsi" w:eastAsiaTheme="majorHAnsi" w:hAnsiTheme="majorHAnsi"/>
                <w:sz w:val="36"/>
                <w:szCs w:val="36"/>
              </w:rPr>
            </w:pPr>
          </w:p>
        </w:tc>
        <w:tc>
          <w:tcPr>
            <w:tcW w:w="2965" w:type="dxa"/>
          </w:tcPr>
          <w:p w14:paraId="38562F7A" w14:textId="29EB16ED"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5D682CEA" w14:textId="5998886A"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009005CC" w14:textId="51211C1C"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３点</w:t>
            </w:r>
          </w:p>
        </w:tc>
      </w:tr>
      <w:tr w:rsidR="00810C7D" w14:paraId="020D2F4D" w14:textId="77777777" w:rsidTr="00810C7D">
        <w:tc>
          <w:tcPr>
            <w:tcW w:w="2263" w:type="dxa"/>
            <w:vMerge w:val="restart"/>
            <w:vAlign w:val="center"/>
          </w:tcPr>
          <w:p w14:paraId="2740F8D7" w14:textId="77777777" w:rsidR="00810C7D" w:rsidRDefault="00810C7D" w:rsidP="00B358ED">
            <w:pPr>
              <w:jc w:val="center"/>
              <w:rPr>
                <w:rFonts w:asciiTheme="majorHAnsi" w:eastAsiaTheme="majorHAnsi" w:hAnsiTheme="majorHAnsi"/>
                <w:sz w:val="36"/>
                <w:szCs w:val="36"/>
              </w:rPr>
            </w:pPr>
            <w:r>
              <w:rPr>
                <w:rFonts w:asciiTheme="majorHAnsi" w:eastAsiaTheme="majorHAnsi" w:hAnsiTheme="majorHAnsi" w:hint="eastAsia"/>
                <w:sz w:val="36"/>
                <w:szCs w:val="36"/>
              </w:rPr>
              <w:t>再診時</w:t>
            </w:r>
          </w:p>
          <w:p w14:paraId="64BED719" w14:textId="7A03DE3D" w:rsidR="00810C7D" w:rsidRDefault="00810C7D" w:rsidP="00B358ED">
            <w:pPr>
              <w:jc w:val="center"/>
              <w:rPr>
                <w:rFonts w:asciiTheme="majorHAnsi" w:eastAsiaTheme="majorHAnsi" w:hAnsiTheme="majorHAnsi"/>
                <w:sz w:val="36"/>
                <w:szCs w:val="36"/>
              </w:rPr>
            </w:pPr>
            <w:r>
              <w:rPr>
                <w:rFonts w:asciiTheme="majorHAnsi" w:eastAsiaTheme="majorHAnsi" w:hAnsiTheme="majorHAnsi" w:hint="eastAsia"/>
                <w:sz w:val="36"/>
                <w:szCs w:val="36"/>
              </w:rPr>
              <w:t>(３月に１回)</w:t>
            </w:r>
          </w:p>
        </w:tc>
        <w:tc>
          <w:tcPr>
            <w:tcW w:w="2965" w:type="dxa"/>
            <w:vMerge w:val="restart"/>
            <w:vAlign w:val="center"/>
          </w:tcPr>
          <w:p w14:paraId="084EB516" w14:textId="366B451F" w:rsidR="00810C7D" w:rsidRDefault="00810C7D" w:rsidP="00810C7D">
            <w:pPr>
              <w:jc w:val="center"/>
              <w:rPr>
                <w:rFonts w:asciiTheme="majorHAnsi" w:eastAsiaTheme="majorHAnsi" w:hAnsiTheme="majorHAnsi"/>
                <w:sz w:val="36"/>
                <w:szCs w:val="36"/>
              </w:rPr>
            </w:pPr>
            <w:r>
              <w:rPr>
                <w:rFonts w:asciiTheme="majorHAnsi" w:eastAsiaTheme="majorHAnsi" w:hAnsiTheme="majorHAnsi" w:hint="eastAsia"/>
                <w:sz w:val="36"/>
                <w:szCs w:val="36"/>
              </w:rPr>
              <w:t>する</w:t>
            </w:r>
          </w:p>
        </w:tc>
        <w:tc>
          <w:tcPr>
            <w:tcW w:w="2614" w:type="dxa"/>
          </w:tcPr>
          <w:p w14:paraId="4E85C470" w14:textId="50122FA3"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する</w:t>
            </w:r>
          </w:p>
        </w:tc>
        <w:tc>
          <w:tcPr>
            <w:tcW w:w="2614" w:type="dxa"/>
          </w:tcPr>
          <w:p w14:paraId="7CCDE668" w14:textId="6B460426"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１点</w:t>
            </w:r>
          </w:p>
        </w:tc>
      </w:tr>
      <w:tr w:rsidR="00810C7D" w14:paraId="5B3F776B" w14:textId="77777777" w:rsidTr="00594E07">
        <w:tc>
          <w:tcPr>
            <w:tcW w:w="2263" w:type="dxa"/>
            <w:vMerge/>
          </w:tcPr>
          <w:p w14:paraId="4EDC58D7" w14:textId="77777777" w:rsidR="00810C7D" w:rsidRDefault="00810C7D">
            <w:pPr>
              <w:rPr>
                <w:rFonts w:asciiTheme="majorHAnsi" w:eastAsiaTheme="majorHAnsi" w:hAnsiTheme="majorHAnsi"/>
                <w:sz w:val="36"/>
                <w:szCs w:val="36"/>
              </w:rPr>
            </w:pPr>
          </w:p>
        </w:tc>
        <w:tc>
          <w:tcPr>
            <w:tcW w:w="2965" w:type="dxa"/>
            <w:vMerge/>
          </w:tcPr>
          <w:p w14:paraId="76490EF7" w14:textId="5DAE8BE0" w:rsidR="00810C7D" w:rsidRDefault="00810C7D" w:rsidP="00594E07">
            <w:pPr>
              <w:jc w:val="center"/>
              <w:rPr>
                <w:rFonts w:asciiTheme="majorHAnsi" w:eastAsiaTheme="majorHAnsi" w:hAnsiTheme="majorHAnsi"/>
                <w:sz w:val="36"/>
                <w:szCs w:val="36"/>
              </w:rPr>
            </w:pPr>
          </w:p>
        </w:tc>
        <w:tc>
          <w:tcPr>
            <w:tcW w:w="2614" w:type="dxa"/>
          </w:tcPr>
          <w:p w14:paraId="6BD008EC" w14:textId="026E5B01"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26F334DB" w14:textId="29FC91C5" w:rsidR="00810C7D" w:rsidRDefault="00810C7D"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３点</w:t>
            </w:r>
          </w:p>
        </w:tc>
      </w:tr>
      <w:tr w:rsidR="00594E07" w14:paraId="589D44FE" w14:textId="77777777" w:rsidTr="00594E07">
        <w:tc>
          <w:tcPr>
            <w:tcW w:w="2263" w:type="dxa"/>
            <w:vMerge/>
          </w:tcPr>
          <w:p w14:paraId="155B9905" w14:textId="77777777" w:rsidR="00594E07" w:rsidRDefault="00594E07">
            <w:pPr>
              <w:rPr>
                <w:rFonts w:asciiTheme="majorHAnsi" w:eastAsiaTheme="majorHAnsi" w:hAnsiTheme="majorHAnsi"/>
                <w:sz w:val="36"/>
                <w:szCs w:val="36"/>
              </w:rPr>
            </w:pPr>
          </w:p>
        </w:tc>
        <w:tc>
          <w:tcPr>
            <w:tcW w:w="2965" w:type="dxa"/>
          </w:tcPr>
          <w:p w14:paraId="760A0B49" w14:textId="5AE3AA8E"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7A5FF1BE" w14:textId="037C020A"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しない</w:t>
            </w:r>
          </w:p>
        </w:tc>
        <w:tc>
          <w:tcPr>
            <w:tcW w:w="2614" w:type="dxa"/>
          </w:tcPr>
          <w:p w14:paraId="4DC9FA89" w14:textId="6467ABB6" w:rsidR="00594E07" w:rsidRDefault="00594E07" w:rsidP="00594E07">
            <w:pPr>
              <w:jc w:val="center"/>
              <w:rPr>
                <w:rFonts w:asciiTheme="majorHAnsi" w:eastAsiaTheme="majorHAnsi" w:hAnsiTheme="majorHAnsi"/>
                <w:sz w:val="36"/>
                <w:szCs w:val="36"/>
              </w:rPr>
            </w:pPr>
            <w:r>
              <w:rPr>
                <w:rFonts w:asciiTheme="majorHAnsi" w:eastAsiaTheme="majorHAnsi" w:hAnsiTheme="majorHAnsi" w:hint="eastAsia"/>
                <w:sz w:val="36"/>
                <w:szCs w:val="36"/>
              </w:rPr>
              <w:t>３点</w:t>
            </w:r>
          </w:p>
        </w:tc>
      </w:tr>
    </w:tbl>
    <w:p w14:paraId="67279DB3" w14:textId="5D7FBB37" w:rsidR="00EB0D98" w:rsidRPr="00810C7D" w:rsidRDefault="00EB0D98" w:rsidP="00810C7D">
      <w:pPr>
        <w:ind w:left="320" w:hangingChars="100" w:hanging="320"/>
        <w:rPr>
          <w:rFonts w:asciiTheme="majorHAnsi" w:eastAsiaTheme="majorHAnsi" w:hAnsiTheme="majorHAnsi"/>
          <w:sz w:val="32"/>
          <w:szCs w:val="32"/>
        </w:rPr>
      </w:pPr>
      <w:r w:rsidRPr="00810C7D">
        <w:rPr>
          <w:rFonts w:asciiTheme="majorHAnsi" w:eastAsiaTheme="majorHAnsi" w:hAnsiTheme="majorHAnsi" w:hint="eastAsia"/>
          <w:sz w:val="32"/>
          <w:szCs w:val="32"/>
        </w:rPr>
        <w:t>〇上記に関わらず、他の医療機関からの紹介状をお持ちの方は、診療報酬点数が１点となります。</w:t>
      </w:r>
    </w:p>
    <w:p w14:paraId="26A7A3A4" w14:textId="77777777" w:rsidR="00810C7D" w:rsidRDefault="00EB0D98" w:rsidP="00810C7D">
      <w:pPr>
        <w:ind w:left="320" w:hangingChars="100" w:hanging="320"/>
        <w:rPr>
          <w:rFonts w:asciiTheme="majorHAnsi" w:eastAsiaTheme="majorHAnsi" w:hAnsiTheme="majorHAnsi"/>
          <w:sz w:val="32"/>
          <w:szCs w:val="32"/>
        </w:rPr>
      </w:pPr>
      <w:r w:rsidRPr="00810C7D">
        <w:rPr>
          <w:rFonts w:asciiTheme="majorHAnsi" w:eastAsiaTheme="majorHAnsi" w:hAnsiTheme="majorHAnsi" w:hint="eastAsia"/>
          <w:sz w:val="32"/>
          <w:szCs w:val="32"/>
        </w:rPr>
        <w:t>〇正確な情報を取得・活用する為、マイナ保険証によるオンライン資格確認等の利用にご協力をお願いいたします。</w:t>
      </w:r>
    </w:p>
    <w:p w14:paraId="6F0E7706" w14:textId="21C89277" w:rsidR="00810C7D" w:rsidRPr="00810C7D" w:rsidRDefault="00810C7D" w:rsidP="00810C7D">
      <w:pPr>
        <w:jc w:val="right"/>
        <w:rPr>
          <w:rFonts w:asciiTheme="majorHAnsi" w:eastAsiaTheme="majorHAnsi" w:hAnsiTheme="majorHAnsi"/>
          <w:sz w:val="32"/>
          <w:szCs w:val="32"/>
        </w:rPr>
      </w:pPr>
      <w:r w:rsidRPr="00810C7D">
        <w:rPr>
          <w:rFonts w:asciiTheme="majorHAnsi" w:eastAsiaTheme="majorHAnsi" w:hAnsiTheme="majorHAnsi" w:hint="eastAsia"/>
          <w:sz w:val="28"/>
          <w:szCs w:val="28"/>
        </w:rPr>
        <w:t>鴨方第一内科クリニック</w:t>
      </w:r>
    </w:p>
    <w:sectPr w:rsidR="00810C7D" w:rsidRPr="00810C7D" w:rsidSect="00EB0D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8"/>
    <w:rsid w:val="003E57A3"/>
    <w:rsid w:val="00594E07"/>
    <w:rsid w:val="00810C7D"/>
    <w:rsid w:val="00AA433B"/>
    <w:rsid w:val="00B358ED"/>
    <w:rsid w:val="00B8233C"/>
    <w:rsid w:val="00CA180D"/>
    <w:rsid w:val="00EB0D98"/>
    <w:rsid w:val="00EE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47458"/>
  <w15:chartTrackingRefBased/>
  <w15:docId w15:val="{72D15CBE-4160-4B4C-BDE7-18785F4C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dc:creator>
  <cp:keywords/>
  <dc:description/>
  <cp:lastModifiedBy>　</cp:lastModifiedBy>
  <cp:revision>2</cp:revision>
  <cp:lastPrinted>2024-05-14T13:42:00Z</cp:lastPrinted>
  <dcterms:created xsi:type="dcterms:W3CDTF">2024-05-16T05:44:00Z</dcterms:created>
  <dcterms:modified xsi:type="dcterms:W3CDTF">2024-05-16T05:44:00Z</dcterms:modified>
</cp:coreProperties>
</file>